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widowControl/>
        <w:spacing w:line="400" w:lineRule="exact"/>
        <w:ind w:left="1505" w:hanging="1505" w:hangingChars="5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7000吨年高速高频板5G用（HVLP）铜箔项目高效液相色谱仪采购</w:t>
      </w:r>
    </w:p>
    <w:p>
      <w:pPr>
        <w:spacing w:line="360" w:lineRule="auto"/>
        <w:jc w:val="left"/>
        <w:rPr>
          <w:rFonts w:ascii="仿宋" w:hAnsi="仿宋" w:eastAsia="仿宋" w:cs="仿宋"/>
          <w:b/>
          <w:bCs/>
          <w:spacing w:val="10"/>
          <w:sz w:val="28"/>
          <w:szCs w:val="28"/>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2024年03月11日               </w:t>
      </w:r>
    </w:p>
    <w:p>
      <w:pPr>
        <w:spacing w:line="360" w:lineRule="auto"/>
        <w:ind w:right="1071" w:firstLine="1680" w:firstLineChars="600"/>
        <w:rPr>
          <w:rFonts w:ascii="宋体" w:hAnsi="宋体"/>
          <w:b/>
          <w:bCs/>
          <w:sz w:val="44"/>
          <w:szCs w:val="44"/>
        </w:rPr>
      </w:pPr>
      <w:r>
        <w:rPr>
          <w:sz w:val="28"/>
          <w:szCs w:val="28"/>
        </w:rPr>
        <w:br w:type="page"/>
      </w:r>
      <w:r>
        <w:rPr>
          <w:rFonts w:hint="eastAsia"/>
          <w:sz w:val="28"/>
          <w:szCs w:val="28"/>
        </w:rPr>
        <w:t xml:space="preserve">            </w:t>
      </w:r>
      <w:r>
        <w:rPr>
          <w:rFonts w:hint="eastAsia"/>
          <w:sz w:val="44"/>
          <w:szCs w:val="44"/>
        </w:rPr>
        <w:t xml:space="preserve">     </w:t>
      </w:r>
      <w:r>
        <w:rPr>
          <w:rFonts w:hint="eastAsia" w:ascii="宋体" w:hAnsi="宋体"/>
          <w:b/>
          <w:bCs/>
          <w:sz w:val="44"/>
          <w:szCs w:val="44"/>
        </w:rPr>
        <w:t>招标文件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7000吨年高速高频板5G用（HVLP）铜箔项目高效液相色谱仪</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9"/>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 w:hAnsi="仿宋" w:eastAsia="仿宋" w:cs="仿宋"/>
          <w:b/>
          <w:bCs/>
          <w:spacing w:val="10"/>
          <w:sz w:val="28"/>
          <w:szCs w:val="28"/>
          <w:u w:val="single"/>
        </w:rPr>
      </w:pPr>
      <w:r>
        <w:rPr>
          <w:rFonts w:hint="eastAsia" w:ascii="仿宋_GB2312" w:hAnsi="宋体" w:eastAsia="仿宋_GB2312"/>
          <w:b/>
          <w:bCs/>
          <w:sz w:val="28"/>
          <w:szCs w:val="28"/>
        </w:rPr>
        <w:t>二、项目名称：</w:t>
      </w:r>
      <w:r>
        <w:rPr>
          <w:rFonts w:hint="eastAsia" w:ascii="仿宋" w:hAnsi="仿宋" w:eastAsia="仿宋" w:cs="仿宋"/>
          <w:b/>
          <w:bCs/>
          <w:spacing w:val="10"/>
          <w:sz w:val="28"/>
          <w:szCs w:val="28"/>
          <w:u w:val="single"/>
        </w:rPr>
        <w:t>高效液相色谱仪采购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技术投标时间：2024.3</w:t>
      </w:r>
      <w:r>
        <w:rPr>
          <w:rFonts w:hint="eastAsia" w:ascii="仿宋_GB2312" w:eastAsia="仿宋_GB2312"/>
          <w:b/>
          <w:color w:val="C00000"/>
          <w:sz w:val="28"/>
          <w:szCs w:val="28"/>
          <w:lang w:val="en-US" w:eastAsia="zh-CN"/>
        </w:rPr>
        <w:t>.12-3.15</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商务投标时间：2024.3</w:t>
      </w:r>
      <w:r>
        <w:rPr>
          <w:rFonts w:hint="eastAsia" w:ascii="仿宋_GB2312" w:eastAsia="仿宋_GB2312"/>
          <w:b/>
          <w:color w:val="C00000"/>
          <w:sz w:val="28"/>
          <w:szCs w:val="28"/>
          <w:lang w:val="en-US" w:eastAsia="zh-CN"/>
        </w:rPr>
        <w:t>.16-3.20</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13780923594 </w:t>
      </w:r>
    </w:p>
    <w:p>
      <w:pPr>
        <w:spacing w:line="360" w:lineRule="auto"/>
        <w:ind w:right="70" w:firstLine="1124" w:firstLineChars="400"/>
        <w:rPr>
          <w:rFonts w:ascii="仿宋_GB2312" w:hAnsi="宋体" w:eastAsia="仿宋_GB2312"/>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jinbaosheb@</w:t>
      </w:r>
      <w:r>
        <w:rPr>
          <w:rFonts w:ascii="仿宋_GB2312" w:hAnsi="宋体" w:eastAsia="仿宋_GB2312"/>
          <w:b/>
          <w:bCs/>
          <w:sz w:val="28"/>
          <w:szCs w:val="28"/>
        </w:rPr>
        <w:t xml:space="preserve"> chinajinbao.com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方秀芹</w:t>
      </w:r>
      <w:r>
        <w:rPr>
          <w:rFonts w:hint="eastAsia" w:ascii="仿宋_GB2312" w:hAnsi="宋体" w:eastAsia="仿宋_GB2312"/>
          <w:color w:val="C00000"/>
          <w:sz w:val="28"/>
          <w:szCs w:val="28"/>
          <w:lang w:val="en-US" w:eastAsia="zh-CN"/>
        </w:rPr>
        <w:t>0535-2701503</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山东省烟台市招远市国大路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5000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w:t>
      </w:r>
      <w:bookmarkStart w:id="0" w:name="_GoBack"/>
      <w:bookmarkEnd w:id="0"/>
      <w:r>
        <w:rPr>
          <w:rFonts w:hint="eastAsia" w:ascii="仿宋_GB2312" w:hAnsi="仿宋_GB2312" w:eastAsia="仿宋_GB2312" w:cs="仿宋_GB2312"/>
          <w:b/>
          <w:bCs/>
          <w:color w:val="C00000"/>
          <w:sz w:val="28"/>
          <w:szCs w:val="28"/>
        </w:rPr>
        <w:t>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（联系人：路文玲）</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 w:hAnsi="仿宋" w:eastAsia="仿宋"/>
          <w:b/>
          <w:bCs/>
          <w:sz w:val="28"/>
          <w:szCs w:val="28"/>
        </w:rPr>
      </w:pPr>
      <w:r>
        <w:rPr>
          <w:rFonts w:hint="eastAsia" w:ascii="仿宋" w:hAnsi="仿宋" w:eastAsia="仿宋"/>
          <w:b/>
          <w:bCs/>
          <w:sz w:val="28"/>
          <w:szCs w:val="28"/>
        </w:rPr>
        <w:t>一、付款要求</w:t>
      </w:r>
    </w:p>
    <w:p>
      <w:pPr>
        <w:spacing w:line="360" w:lineRule="auto"/>
        <w:ind w:right="70" w:firstLine="560" w:firstLineChars="200"/>
        <w:rPr>
          <w:rFonts w:ascii="仿宋" w:hAnsi="仿宋" w:eastAsia="仿宋"/>
          <w:color w:val="FF0000"/>
          <w:sz w:val="28"/>
          <w:szCs w:val="28"/>
        </w:rPr>
      </w:pPr>
      <w:r>
        <w:rPr>
          <w:rFonts w:hint="eastAsia" w:ascii="仿宋" w:hAnsi="仿宋" w:eastAsia="仿宋"/>
          <w:sz w:val="28"/>
          <w:szCs w:val="28"/>
        </w:rPr>
        <w:t>1、付款形式：</w:t>
      </w:r>
      <w:r>
        <w:rPr>
          <w:rFonts w:hint="eastAsia" w:ascii="仿宋" w:hAnsi="仿宋" w:eastAsia="仿宋"/>
          <w:color w:val="FF0000"/>
          <w:sz w:val="28"/>
          <w:szCs w:val="28"/>
          <w:highlight w:val="yellow"/>
        </w:rPr>
        <w:t>电汇</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2、付款方式：</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2.1、①预付款30%；②安装完成验收合格付款60%；③质保金10%（一</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年后付清）；</w:t>
      </w:r>
      <w:r>
        <w:rPr>
          <w:rFonts w:hint="eastAsia" w:ascii="仿宋" w:hAnsi="仿宋" w:eastAsia="仿宋"/>
          <w:sz w:val="28"/>
          <w:szCs w:val="28"/>
          <w:highlight w:val="yellow"/>
        </w:rPr>
        <w:t>预付款，需开具同等金额银行履约保函后才能付款。</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2.2、①到货安装完成验收合格付款90%；②质保金10%（一年后付清）。</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2.3、或者比上述两者更优越的付款条件。</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3、售后或其他要求：</w:t>
      </w:r>
    </w:p>
    <w:p>
      <w:pPr>
        <w:spacing w:line="360" w:lineRule="auto"/>
        <w:ind w:right="70"/>
        <w:rPr>
          <w:rFonts w:ascii="仿宋" w:hAnsi="仿宋" w:eastAsia="仿宋"/>
          <w:b/>
          <w:bCs/>
          <w:sz w:val="28"/>
          <w:szCs w:val="28"/>
        </w:rPr>
      </w:pPr>
      <w:r>
        <w:rPr>
          <w:rFonts w:hint="eastAsia" w:ascii="仿宋" w:hAnsi="仿宋" w:eastAsia="仿宋"/>
          <w:b/>
          <w:bCs/>
          <w:sz w:val="28"/>
          <w:szCs w:val="28"/>
        </w:rPr>
        <w:t>二、工期要求</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1、交货日期：合同签订</w:t>
      </w:r>
      <w:r>
        <w:rPr>
          <w:rFonts w:ascii="仿宋" w:hAnsi="仿宋" w:eastAsia="仿宋"/>
          <w:sz w:val="28"/>
          <w:szCs w:val="28"/>
        </w:rPr>
        <w:t>后</w:t>
      </w:r>
      <w:r>
        <w:rPr>
          <w:rFonts w:hint="eastAsia" w:ascii="仿宋" w:hAnsi="仿宋" w:eastAsia="仿宋"/>
          <w:sz w:val="28"/>
          <w:szCs w:val="28"/>
          <w:u w:val="single"/>
        </w:rPr>
        <w:t xml:space="preserve">   </w:t>
      </w:r>
      <w:r>
        <w:rPr>
          <w:rFonts w:hint="eastAsia" w:ascii="仿宋" w:hAnsi="仿宋" w:eastAsia="仿宋"/>
          <w:sz w:val="28"/>
          <w:szCs w:val="28"/>
          <w:highlight w:val="yellow"/>
          <w:u w:val="single"/>
        </w:rPr>
        <w:t>20</w:t>
      </w:r>
      <w:r>
        <w:rPr>
          <w:rFonts w:hint="eastAsia" w:ascii="仿宋" w:hAnsi="仿宋" w:eastAsia="仿宋"/>
          <w:sz w:val="28"/>
          <w:szCs w:val="28"/>
          <w:u w:val="single"/>
        </w:rPr>
        <w:t xml:space="preserve">   日</w:t>
      </w:r>
      <w:r>
        <w:rPr>
          <w:rFonts w:hint="eastAsia" w:ascii="仿宋" w:hAnsi="仿宋" w:eastAsia="仿宋"/>
          <w:sz w:val="28"/>
          <w:szCs w:val="28"/>
        </w:rPr>
        <w:t>。</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2、交货地点：</w:t>
      </w:r>
      <w:r>
        <w:rPr>
          <w:rFonts w:ascii="仿宋" w:hAnsi="仿宋" w:eastAsia="仿宋"/>
          <w:sz w:val="28"/>
          <w:szCs w:val="28"/>
        </w:rPr>
        <w:t xml:space="preserve"> </w:t>
      </w:r>
      <w:r>
        <w:rPr>
          <w:rFonts w:hint="eastAsia" w:ascii="仿宋" w:hAnsi="仿宋" w:eastAsia="仿宋"/>
          <w:sz w:val="28"/>
          <w:szCs w:val="28"/>
        </w:rPr>
        <w:t>招远市</w:t>
      </w:r>
      <w:r>
        <w:rPr>
          <w:rFonts w:ascii="仿宋" w:hAnsi="仿宋" w:eastAsia="仿宋"/>
          <w:sz w:val="28"/>
          <w:szCs w:val="28"/>
        </w:rPr>
        <w:t>金晖路</w:t>
      </w:r>
      <w:r>
        <w:rPr>
          <w:rFonts w:hint="eastAsia" w:ascii="仿宋" w:hAnsi="仿宋" w:eastAsia="仿宋"/>
          <w:sz w:val="28"/>
          <w:szCs w:val="28"/>
        </w:rPr>
        <w:t>229号</w:t>
      </w:r>
    </w:p>
    <w:p>
      <w:pPr>
        <w:spacing w:line="360" w:lineRule="auto"/>
        <w:ind w:right="70"/>
        <w:jc w:val="center"/>
        <w:rPr>
          <w:rFonts w:ascii="仿宋" w:hAnsi="仿宋" w:eastAsia="仿宋"/>
          <w:b/>
          <w:sz w:val="36"/>
          <w:szCs w:val="36"/>
        </w:rPr>
      </w:pPr>
    </w:p>
    <w:p>
      <w:pPr>
        <w:spacing w:line="360" w:lineRule="auto"/>
        <w:ind w:right="70"/>
        <w:jc w:val="center"/>
        <w:rPr>
          <w:rFonts w:ascii="仿宋" w:hAnsi="仿宋" w:eastAsia="仿宋"/>
          <w:b/>
          <w:sz w:val="36"/>
          <w:szCs w:val="36"/>
        </w:rPr>
      </w:pPr>
    </w:p>
    <w:p>
      <w:pPr>
        <w:spacing w:line="360" w:lineRule="auto"/>
        <w:ind w:right="70"/>
        <w:jc w:val="center"/>
        <w:rPr>
          <w:rFonts w:ascii="仿宋" w:hAnsi="仿宋" w:eastAsia="仿宋"/>
          <w:b/>
          <w:sz w:val="36"/>
          <w:szCs w:val="36"/>
        </w:rPr>
      </w:pPr>
    </w:p>
    <w:p>
      <w:pPr>
        <w:spacing w:line="360" w:lineRule="auto"/>
        <w:ind w:right="70"/>
        <w:rPr>
          <w:rFonts w:ascii="仿宋" w:hAnsi="仿宋" w:eastAsia="仿宋"/>
          <w:b/>
          <w:sz w:val="36"/>
          <w:szCs w:val="36"/>
        </w:rPr>
      </w:pPr>
    </w:p>
    <w:p>
      <w:pPr>
        <w:spacing w:line="360" w:lineRule="auto"/>
        <w:ind w:right="70"/>
        <w:jc w:val="center"/>
        <w:rPr>
          <w:rFonts w:ascii="仿宋" w:hAnsi="仿宋" w:eastAsia="仿宋"/>
          <w:b/>
          <w:sz w:val="36"/>
          <w:szCs w:val="36"/>
        </w:rPr>
      </w:pPr>
      <w:r>
        <w:rPr>
          <w:rFonts w:hint="eastAsia" w:ascii="仿宋" w:hAnsi="仿宋" w:eastAsia="仿宋"/>
          <w:b/>
          <w:sz w:val="36"/>
          <w:szCs w:val="36"/>
        </w:rPr>
        <w:t>第三部分   技术指标及规格要求</w:t>
      </w:r>
    </w:p>
    <w:p>
      <w:pPr>
        <w:spacing w:line="360" w:lineRule="auto"/>
        <w:ind w:right="7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一、标的物</w:t>
      </w:r>
    </w:p>
    <w:tbl>
      <w:tblPr>
        <w:tblStyle w:val="12"/>
        <w:tblW w:w="907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68"/>
        <w:gridCol w:w="1134"/>
        <w:gridCol w:w="1276"/>
        <w:gridCol w:w="850"/>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spacing w:line="360" w:lineRule="auto"/>
              <w:jc w:val="center"/>
              <w:rPr>
                <w:rFonts w:ascii="仿宋_GB2312" w:eastAsia="仿宋_GB2312"/>
                <w:sz w:val="28"/>
                <w:szCs w:val="28"/>
              </w:rPr>
            </w:pPr>
            <w:r>
              <w:rPr>
                <w:rFonts w:hint="eastAsia" w:ascii="仿宋_GB2312" w:eastAsia="仿宋_GB2312"/>
                <w:sz w:val="28"/>
                <w:szCs w:val="28"/>
              </w:rPr>
              <w:t>序号</w:t>
            </w:r>
          </w:p>
        </w:tc>
        <w:tc>
          <w:tcPr>
            <w:tcW w:w="226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名称</w:t>
            </w:r>
          </w:p>
        </w:tc>
        <w:tc>
          <w:tcPr>
            <w:tcW w:w="1134"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型号</w:t>
            </w:r>
          </w:p>
        </w:tc>
        <w:tc>
          <w:tcPr>
            <w:tcW w:w="1276"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w:t>
            </w:r>
          </w:p>
        </w:tc>
        <w:tc>
          <w:tcPr>
            <w:tcW w:w="85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数量</w:t>
            </w:r>
          </w:p>
        </w:tc>
        <w:tc>
          <w:tcPr>
            <w:tcW w:w="851" w:type="dxa"/>
          </w:tcPr>
          <w:p>
            <w:pPr>
              <w:spacing w:line="360" w:lineRule="auto"/>
              <w:jc w:val="center"/>
              <w:rPr>
                <w:rFonts w:ascii="仿宋_GB2312" w:eastAsia="仿宋_GB2312"/>
                <w:sz w:val="28"/>
                <w:szCs w:val="28"/>
              </w:rPr>
            </w:pPr>
            <w:r>
              <w:rPr>
                <w:rFonts w:hint="eastAsia" w:ascii="仿宋_GB2312" w:eastAsia="仿宋_GB2312"/>
                <w:sz w:val="28"/>
                <w:szCs w:val="28"/>
              </w:rPr>
              <w:t>单价</w:t>
            </w:r>
          </w:p>
        </w:tc>
        <w:tc>
          <w:tcPr>
            <w:tcW w:w="851" w:type="dxa"/>
          </w:tcPr>
          <w:p>
            <w:pPr>
              <w:spacing w:line="360" w:lineRule="auto"/>
              <w:jc w:val="center"/>
              <w:rPr>
                <w:rFonts w:ascii="仿宋_GB2312" w:eastAsia="仿宋_GB2312"/>
                <w:sz w:val="28"/>
                <w:szCs w:val="28"/>
              </w:rPr>
            </w:pPr>
            <w:r>
              <w:rPr>
                <w:rFonts w:hint="eastAsia" w:ascii="仿宋_GB2312" w:eastAsia="仿宋_GB2312"/>
                <w:sz w:val="28"/>
                <w:szCs w:val="28"/>
              </w:rPr>
              <w:t>总价</w:t>
            </w:r>
          </w:p>
        </w:tc>
        <w:tc>
          <w:tcPr>
            <w:tcW w:w="851" w:type="dxa"/>
          </w:tcPr>
          <w:p>
            <w:pPr>
              <w:spacing w:line="360" w:lineRule="auto"/>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992" w:type="dxa"/>
          </w:tcPr>
          <w:p>
            <w:pPr>
              <w:spacing w:line="360" w:lineRule="auto"/>
              <w:jc w:val="center"/>
              <w:rPr>
                <w:rFonts w:ascii="仿宋_GB2312" w:eastAsia="仿宋_GB2312"/>
                <w:sz w:val="28"/>
                <w:szCs w:val="28"/>
              </w:rPr>
            </w:pPr>
            <w:r>
              <w:rPr>
                <w:rFonts w:hint="eastAsia" w:ascii="仿宋_GB2312" w:eastAsia="仿宋_GB2312"/>
                <w:sz w:val="28"/>
                <w:szCs w:val="28"/>
              </w:rPr>
              <w:t>1</w:t>
            </w:r>
          </w:p>
        </w:tc>
        <w:tc>
          <w:tcPr>
            <w:tcW w:w="226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高效液相色谱仪</w:t>
            </w:r>
          </w:p>
        </w:tc>
        <w:tc>
          <w:tcPr>
            <w:tcW w:w="1134" w:type="dxa"/>
            <w:vAlign w:val="center"/>
          </w:tcPr>
          <w:p>
            <w:pPr>
              <w:spacing w:line="360" w:lineRule="auto"/>
              <w:jc w:val="center"/>
              <w:rPr>
                <w:rFonts w:ascii="仿宋_GB2312" w:eastAsia="仿宋_GB2312"/>
                <w:sz w:val="28"/>
                <w:szCs w:val="28"/>
              </w:rPr>
            </w:pPr>
          </w:p>
        </w:tc>
        <w:tc>
          <w:tcPr>
            <w:tcW w:w="1276"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台</w:t>
            </w:r>
          </w:p>
        </w:tc>
        <w:tc>
          <w:tcPr>
            <w:tcW w:w="85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1</w:t>
            </w:r>
          </w:p>
        </w:tc>
        <w:tc>
          <w:tcPr>
            <w:tcW w:w="851" w:type="dxa"/>
          </w:tcPr>
          <w:p>
            <w:pPr>
              <w:spacing w:line="360" w:lineRule="auto"/>
              <w:jc w:val="center"/>
              <w:rPr>
                <w:rFonts w:ascii="仿宋_GB2312" w:eastAsia="仿宋_GB2312"/>
                <w:sz w:val="28"/>
                <w:szCs w:val="28"/>
              </w:rPr>
            </w:pPr>
          </w:p>
        </w:tc>
        <w:tc>
          <w:tcPr>
            <w:tcW w:w="851" w:type="dxa"/>
          </w:tcPr>
          <w:p>
            <w:pPr>
              <w:spacing w:line="360" w:lineRule="auto"/>
              <w:jc w:val="center"/>
              <w:rPr>
                <w:rFonts w:ascii="仿宋_GB2312" w:eastAsia="仿宋_GB2312"/>
                <w:sz w:val="28"/>
                <w:szCs w:val="28"/>
              </w:rPr>
            </w:pPr>
          </w:p>
        </w:tc>
        <w:tc>
          <w:tcPr>
            <w:tcW w:w="851" w:type="dxa"/>
            <w:vAlign w:val="center"/>
          </w:tcPr>
          <w:p>
            <w:pPr>
              <w:spacing w:line="360" w:lineRule="auto"/>
              <w:jc w:val="center"/>
              <w:rPr>
                <w:rFonts w:ascii="仿宋_GB2312" w:eastAsia="仿宋_GB2312"/>
                <w:sz w:val="28"/>
                <w:szCs w:val="28"/>
              </w:rPr>
            </w:pPr>
          </w:p>
        </w:tc>
      </w:tr>
    </w:tbl>
    <w:p>
      <w:pPr>
        <w:spacing w:line="360" w:lineRule="auto"/>
        <w:ind w:right="7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二、技术要求：</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1.两台输液泵组成的二元高压系统、</w:t>
      </w:r>
      <w:r>
        <w:rPr>
          <w:rFonts w:ascii="仿宋" w:hAnsi="仿宋" w:eastAsia="仿宋" w:cs="仿宋"/>
          <w:color w:val="000000"/>
          <w:kern w:val="0"/>
          <w:sz w:val="28"/>
          <w:szCs w:val="28"/>
        </w:rPr>
        <w:t>工具包、</w:t>
      </w:r>
      <w:r>
        <w:rPr>
          <w:rFonts w:hint="eastAsia" w:ascii="仿宋" w:hAnsi="仿宋" w:eastAsia="仿宋" w:cs="仿宋"/>
          <w:color w:val="000000"/>
          <w:kern w:val="0"/>
          <w:sz w:val="28"/>
          <w:szCs w:val="28"/>
        </w:rPr>
        <w:t>混合器、手动进样器、紫外</w:t>
      </w:r>
      <w:r>
        <w:rPr>
          <w:rFonts w:ascii="仿宋" w:hAnsi="仿宋" w:eastAsia="仿宋" w:cs="仿宋"/>
          <w:color w:val="000000"/>
          <w:kern w:val="0"/>
          <w:sz w:val="28"/>
          <w:szCs w:val="28"/>
        </w:rPr>
        <w:t>检测器、</w:t>
      </w:r>
      <w:r>
        <w:rPr>
          <w:rFonts w:hint="eastAsia" w:ascii="仿宋" w:hAnsi="仿宋" w:eastAsia="仿宋" w:cs="仿宋"/>
          <w:color w:val="000000"/>
          <w:kern w:val="0"/>
          <w:sz w:val="28"/>
          <w:szCs w:val="28"/>
        </w:rPr>
        <w:t>中文控制面板和中继板、</w:t>
      </w:r>
      <w:r>
        <w:rPr>
          <w:rFonts w:ascii="仿宋" w:hAnsi="仿宋" w:eastAsia="仿宋" w:cs="仿宋"/>
          <w:color w:val="000000"/>
          <w:kern w:val="0"/>
          <w:sz w:val="28"/>
          <w:szCs w:val="28"/>
        </w:rPr>
        <w:t>柱温箱</w:t>
      </w:r>
      <w:r>
        <w:rPr>
          <w:rFonts w:hint="eastAsia" w:ascii="仿宋" w:hAnsi="仿宋" w:eastAsia="仿宋" w:cs="仿宋"/>
          <w:color w:val="000000"/>
          <w:kern w:val="0"/>
          <w:sz w:val="28"/>
          <w:szCs w:val="28"/>
        </w:rPr>
        <w:t>（室温-</w:t>
      </w:r>
      <w:r>
        <w:rPr>
          <w:rFonts w:ascii="仿宋" w:hAnsi="仿宋" w:eastAsia="仿宋" w:cs="仿宋"/>
          <w:color w:val="000000"/>
          <w:kern w:val="0"/>
          <w:sz w:val="28"/>
          <w:szCs w:val="28"/>
        </w:rPr>
        <w:t>80</w:t>
      </w:r>
      <w:r>
        <w:rPr>
          <w:rFonts w:hint="eastAsia" w:ascii="仿宋" w:hAnsi="仿宋" w:eastAsia="仿宋" w:cs="仿宋"/>
          <w:color w:val="000000"/>
          <w:kern w:val="0"/>
          <w:sz w:val="28"/>
          <w:szCs w:val="28"/>
        </w:rPr>
        <w:t>℃，精度±0</w:t>
      </w:r>
      <w:r>
        <w:rPr>
          <w:rFonts w:ascii="仿宋" w:hAnsi="仿宋" w:eastAsia="仿宋" w:cs="仿宋"/>
          <w:color w:val="000000"/>
          <w:kern w:val="0"/>
          <w:sz w:val="28"/>
          <w:szCs w:val="28"/>
        </w:rPr>
        <w:t>.1</w:t>
      </w:r>
      <w:r>
        <w:rPr>
          <w:rFonts w:hint="eastAsia" w:ascii="仿宋" w:hAnsi="仿宋" w:eastAsia="仿宋" w:cs="仿宋"/>
          <w:color w:val="000000"/>
          <w:kern w:val="0"/>
          <w:sz w:val="28"/>
          <w:szCs w:val="28"/>
        </w:rPr>
        <w:t>℃，可安装手动进样器一个，可内置梯度混合器一个）、</w:t>
      </w:r>
      <w:r>
        <w:rPr>
          <w:rFonts w:ascii="仿宋" w:hAnsi="仿宋" w:eastAsia="仿宋" w:cs="仿宋"/>
          <w:color w:val="000000"/>
          <w:kern w:val="0"/>
          <w:sz w:val="28"/>
          <w:szCs w:val="28"/>
        </w:rPr>
        <w:t>中文工作站、</w:t>
      </w:r>
      <w:r>
        <w:rPr>
          <w:rFonts w:hint="eastAsia" w:ascii="仿宋" w:hAnsi="仿宋" w:eastAsia="仿宋" w:cs="仿宋"/>
          <w:color w:val="000000"/>
          <w:kern w:val="0"/>
          <w:sz w:val="28"/>
          <w:szCs w:val="28"/>
        </w:rPr>
        <w:t>系统控制器及附件、C</w:t>
      </w:r>
      <w:r>
        <w:rPr>
          <w:rFonts w:ascii="仿宋" w:hAnsi="仿宋" w:eastAsia="仿宋" w:cs="仿宋"/>
          <w:color w:val="000000"/>
          <w:kern w:val="0"/>
          <w:sz w:val="28"/>
          <w:szCs w:val="28"/>
        </w:rPr>
        <w:t>18</w:t>
      </w:r>
      <w:r>
        <w:rPr>
          <w:rFonts w:hint="eastAsia" w:ascii="仿宋" w:hAnsi="仿宋" w:eastAsia="仿宋" w:cs="仿宋"/>
          <w:color w:val="000000"/>
          <w:kern w:val="0"/>
          <w:sz w:val="28"/>
          <w:szCs w:val="28"/>
        </w:rPr>
        <w:t>色谱柱  2</w:t>
      </w:r>
      <w:r>
        <w:rPr>
          <w:rFonts w:ascii="仿宋" w:hAnsi="仿宋" w:eastAsia="仿宋" w:cs="仿宋"/>
          <w:color w:val="000000"/>
          <w:kern w:val="0"/>
          <w:sz w:val="28"/>
          <w:szCs w:val="28"/>
        </w:rPr>
        <w:t>根</w:t>
      </w:r>
      <w:r>
        <w:rPr>
          <w:rFonts w:hint="eastAsia" w:ascii="仿宋" w:hAnsi="仿宋" w:eastAsia="仿宋" w:cs="仿宋"/>
          <w:color w:val="000000"/>
          <w:kern w:val="0"/>
          <w:sz w:val="28"/>
          <w:szCs w:val="28"/>
        </w:rPr>
        <w:t>（一用一备）。</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3.包含相关配套及耗材，比如流动相瓶；</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4.品牌电脑一套：惠普Z2 G5 SFF(带千兆网卡) ，含正版Win10专业版系统，Z2 G5 SFF/i7-10700/16G/nECC/512SSD/DVDRW/Win 10 H/HDMI/450W/I210</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显示器 戴尔 U2421E 24寸 分辨率1920*1200 U2421E 24寸。</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5.已停止生产型号不考虑。</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6.推荐品牌：安捷伦，岛津，沃特世</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7.培训：根据购方要求免费为购方1名人员提供在厂家工厂或分析中心进行的培训（ 包括仪器基本原理、操作使用及日常保养维护等），累计培训时间至少2天，用户差旅自理。</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8.设备及部件的运输、卸车、吊装、搬运、安装调试所需的工具等费用均由投标方负责；</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9.投标方严格遵守招标方公司的相关规章制度，装卸、安装调试过程中造成的任何人身伤害和财产损失，均由投标方承担全部责任。</w:t>
      </w:r>
    </w:p>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10.质保期1年。</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highlight w:val="yellow"/>
        </w:rPr>
        <w:t>注：</w:t>
      </w:r>
      <w:r>
        <w:rPr>
          <w:rFonts w:ascii="仿宋" w:hAnsi="仿宋" w:eastAsia="仿宋" w:cs="仿宋"/>
          <w:color w:val="000000"/>
          <w:kern w:val="0"/>
          <w:sz w:val="28"/>
          <w:szCs w:val="28"/>
          <w:highlight w:val="yellow"/>
        </w:rPr>
        <w:t>（现场联系人：</w:t>
      </w:r>
      <w:r>
        <w:rPr>
          <w:rFonts w:hint="eastAsia" w:ascii="仿宋" w:hAnsi="仿宋" w:eastAsia="仿宋" w:cs="仿宋"/>
          <w:color w:val="000000"/>
          <w:kern w:val="0"/>
          <w:sz w:val="28"/>
          <w:szCs w:val="28"/>
          <w:highlight w:val="yellow"/>
        </w:rPr>
        <w:t>王学江  15192372600</w:t>
      </w:r>
      <w:r>
        <w:rPr>
          <w:rFonts w:ascii="仿宋" w:hAnsi="仿宋" w:eastAsia="仿宋" w:cs="仿宋"/>
          <w:color w:val="000000"/>
          <w:kern w:val="0"/>
          <w:sz w:val="28"/>
          <w:szCs w:val="28"/>
          <w:highlight w:val="yellow"/>
        </w:rPr>
        <w:t>）</w:t>
      </w:r>
    </w:p>
    <w:p>
      <w:pPr>
        <w:rPr>
          <w:rFonts w:ascii="仿宋" w:hAnsi="仿宋" w:eastAsia="仿宋" w:cs="仿宋_GB2312"/>
          <w:b/>
          <w:sz w:val="28"/>
          <w:szCs w:val="32"/>
        </w:rPr>
      </w:pPr>
      <w:r>
        <w:rPr>
          <w:rFonts w:hint="eastAsia" w:ascii="仿宋" w:hAnsi="仿宋" w:eastAsia="仿宋" w:cs="仿宋_GB2312"/>
          <w:b/>
          <w:sz w:val="28"/>
          <w:szCs w:val="32"/>
        </w:rPr>
        <w:t>三、保证条款</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1、</w:t>
      </w:r>
      <w:r>
        <w:rPr>
          <w:rFonts w:hint="eastAsia" w:ascii="仿宋" w:hAnsi="仿宋" w:eastAsia="仿宋" w:cs="仿宋"/>
          <w:color w:val="000000"/>
          <w:kern w:val="0"/>
          <w:sz w:val="28"/>
          <w:szCs w:val="28"/>
        </w:rPr>
        <w:t>中标方</w:t>
      </w:r>
      <w:r>
        <w:rPr>
          <w:rFonts w:hint="eastAsia" w:ascii="仿宋" w:hAnsi="仿宋" w:eastAsia="仿宋" w:cs="仿宋_GB2312"/>
          <w:sz w:val="28"/>
          <w:szCs w:val="32"/>
        </w:rPr>
        <w:t>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2.因中标方所供货物给招标方造成环保等其他方面相关损失，中标方需承担全部赔偿责任。</w:t>
      </w:r>
    </w:p>
    <w:p>
      <w:pPr>
        <w:rPr>
          <w:rFonts w:ascii="仿宋" w:hAnsi="仿宋" w:eastAsia="仿宋" w:cs="仿宋_GB2312"/>
          <w:b/>
          <w:sz w:val="28"/>
          <w:szCs w:val="32"/>
        </w:rPr>
      </w:pPr>
      <w:r>
        <w:rPr>
          <w:rFonts w:hint="eastAsia" w:ascii="仿宋" w:hAnsi="仿宋" w:eastAsia="仿宋" w:cs="仿宋_GB2312"/>
          <w:b/>
          <w:sz w:val="28"/>
          <w:szCs w:val="32"/>
        </w:rPr>
        <w:t>四、交货期及运费</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交货期，自合同签订生效之日起</w:t>
      </w:r>
      <w:r>
        <w:rPr>
          <w:rFonts w:hint="eastAsia" w:ascii="仿宋" w:hAnsi="仿宋" w:eastAsia="仿宋" w:cs="仿宋_GB2312"/>
          <w:sz w:val="28"/>
          <w:szCs w:val="32"/>
          <w:u w:val="single"/>
        </w:rPr>
        <w:t>20日</w:t>
      </w:r>
      <w:r>
        <w:rPr>
          <w:rFonts w:hint="eastAsia" w:ascii="仿宋" w:hAnsi="仿宋" w:eastAsia="仿宋"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 w:hAnsi="仿宋" w:eastAsia="仿宋" w:cs="仿宋_GB2312"/>
          <w:b/>
          <w:sz w:val="28"/>
          <w:szCs w:val="32"/>
        </w:rPr>
      </w:pPr>
      <w:r>
        <w:rPr>
          <w:rFonts w:hint="eastAsia" w:ascii="仿宋" w:hAnsi="仿宋" w:eastAsia="仿宋" w:cs="仿宋_GB2312"/>
          <w:b/>
          <w:sz w:val="28"/>
          <w:szCs w:val="32"/>
        </w:rPr>
        <w:t>五、有关知识产权</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hint="eastAsia" w:ascii="仿宋" w:hAnsi="仿宋" w:eastAsia="仿宋" w:cs="仿宋_GB2312"/>
          <w:sz w:val="28"/>
          <w:szCs w:val="32"/>
        </w:rPr>
      </w:pPr>
      <w:r>
        <w:rPr>
          <w:rFonts w:hint="eastAsia" w:ascii="仿宋" w:hAnsi="仿宋" w:eastAsia="仿宋" w:cs="仿宋_GB2312"/>
          <w:b/>
          <w:sz w:val="28"/>
          <w:szCs w:val="32"/>
        </w:rPr>
        <w:t>六、售后服务、质量保证：</w:t>
      </w:r>
      <w:r>
        <w:rPr>
          <w:rFonts w:hint="eastAsia" w:ascii="仿宋" w:hAnsi="仿宋" w:eastAsia="仿宋" w:cs="仿宋_GB2312"/>
          <w:sz w:val="28"/>
          <w:szCs w:val="32"/>
        </w:rPr>
        <w:t>售后服务事项在合同中进行约定。</w:t>
      </w:r>
    </w:p>
    <w:p>
      <w:pPr>
        <w:rPr>
          <w:rFonts w:hint="eastAsia" w:ascii="仿宋" w:hAnsi="仿宋" w:eastAsia="仿宋" w:cs="仿宋_GB2312"/>
          <w:sz w:val="28"/>
          <w:szCs w:val="32"/>
        </w:rPr>
      </w:pPr>
    </w:p>
    <w:p>
      <w:pPr>
        <w:rPr>
          <w:rFonts w:ascii="仿宋" w:hAnsi="仿宋" w:eastAsia="仿宋" w:cs="仿宋_GB2312"/>
          <w:sz w:val="28"/>
          <w:szCs w:val="32"/>
        </w:rPr>
      </w:pP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6"/>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w:t>
      </w:r>
      <w:r>
        <w:rPr>
          <w:rFonts w:hint="eastAsia" w:ascii="宋体" w:hAnsi="宋体" w:cs="宋体"/>
          <w:sz w:val="28"/>
          <w:szCs w:val="28"/>
        </w:rPr>
        <w:t> </w:t>
      </w:r>
      <w:r>
        <w:rPr>
          <w:rFonts w:hint="eastAsia" w:ascii="仿宋" w:hAnsi="仿宋" w:eastAsia="仿宋" w:cs="仿宋"/>
          <w:sz w:val="28"/>
          <w:szCs w:val="28"/>
        </w:rPr>
        <w:t>话：                           电</w:t>
      </w:r>
      <w:r>
        <w:rPr>
          <w:rFonts w:hint="eastAsia" w:ascii="宋体" w:hAnsi="宋体" w:cs="宋体"/>
          <w:sz w:val="28"/>
          <w:szCs w:val="28"/>
        </w:rPr>
        <w:t> </w:t>
      </w:r>
      <w:r>
        <w:rPr>
          <w:rFonts w:hint="eastAsia" w:ascii="仿宋" w:hAnsi="仿宋" w:eastAsia="仿宋" w:cs="仿宋"/>
          <w:sz w:val="28"/>
          <w:szCs w:val="28"/>
        </w:rPr>
        <w:t>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w:t>
      </w:r>
      <w:r>
        <w:rPr>
          <w:rFonts w:hint="eastAsia" w:ascii="宋体" w:hAnsi="宋体" w:cs="宋体"/>
          <w:sz w:val="28"/>
          <w:szCs w:val="28"/>
        </w:rPr>
        <w:t> </w:t>
      </w:r>
      <w:r>
        <w:rPr>
          <w:rFonts w:hint="eastAsia" w:ascii="仿宋" w:hAnsi="仿宋" w:eastAsia="仿宋" w:cs="仿宋"/>
          <w:sz w:val="28"/>
          <w:szCs w:val="28"/>
        </w:rPr>
        <w:t>号：1606 0217 0902 4200 204    账</w:t>
      </w:r>
      <w:r>
        <w:rPr>
          <w:rFonts w:hint="eastAsia" w:ascii="宋体" w:hAnsi="宋体" w:cs="宋体"/>
          <w:sz w:val="28"/>
          <w:szCs w:val="28"/>
        </w:rPr>
        <w:t> </w:t>
      </w:r>
      <w:r>
        <w:rPr>
          <w:rFonts w:hint="eastAsia" w:ascii="仿宋" w:hAnsi="仿宋" w:eastAsia="仿宋" w:cs="仿宋"/>
          <w:sz w:val="28"/>
          <w:szCs w:val="28"/>
        </w:rPr>
        <w:t>号：</w:t>
      </w:r>
    </w:p>
    <w:p>
      <w:pPr>
        <w:spacing w:line="360" w:lineRule="auto"/>
        <w:rPr>
          <w:rFonts w:ascii="仿宋" w:hAnsi="仿宋" w:eastAsia="仿宋" w:cs="仿宋"/>
          <w:sz w:val="28"/>
          <w:szCs w:val="28"/>
        </w:rPr>
      </w:pPr>
      <w:r>
        <w:rPr>
          <w:rFonts w:hint="eastAsia" w:ascii="仿宋" w:hAnsi="仿宋" w:eastAsia="仿宋" w:cs="仿宋"/>
          <w:sz w:val="28"/>
          <w:szCs w:val="28"/>
        </w:rPr>
        <w:t>税</w:t>
      </w:r>
      <w:r>
        <w:rPr>
          <w:rFonts w:hint="eastAsia" w:ascii="宋体" w:hAnsi="宋体" w:cs="宋体"/>
          <w:sz w:val="28"/>
          <w:szCs w:val="28"/>
        </w:rPr>
        <w:t> </w:t>
      </w:r>
      <w:r>
        <w:rPr>
          <w:rFonts w:hint="eastAsia" w:ascii="仿宋" w:hAnsi="仿宋" w:eastAsia="仿宋" w:cs="仿宋"/>
          <w:sz w:val="28"/>
          <w:szCs w:val="28"/>
        </w:rPr>
        <w:t>号：9137 0000 6134 2205 47     税</w:t>
      </w:r>
      <w:r>
        <w:rPr>
          <w:rFonts w:hint="eastAsia" w:ascii="宋体" w:hAnsi="宋体" w:cs="宋体"/>
          <w:sz w:val="28"/>
          <w:szCs w:val="28"/>
        </w:rPr>
        <w:t> </w:t>
      </w:r>
      <w:r>
        <w:rPr>
          <w:rFonts w:hint="eastAsia" w:ascii="仿宋" w:hAnsi="仿宋" w:eastAsia="仿宋" w:cs="仿宋"/>
          <w:sz w:val="28"/>
          <w:szCs w:val="28"/>
        </w:rPr>
        <w:t>号：</w:t>
      </w:r>
    </w:p>
    <w:p>
      <w:pPr>
        <w:pStyle w:val="11"/>
        <w:ind w:firstLine="0" w:firstLineChars="0"/>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1"/>
        <w:ind w:firstLine="21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pStyle w:val="11"/>
        <w:ind w:firstLine="0" w:firstLineChars="0"/>
        <w:rPr>
          <w:rFonts w:ascii="仿宋" w:hAnsi="仿宋" w:eastAsia="仿宋" w:cs="仿宋"/>
          <w:b/>
          <w:bCs/>
          <w:sz w:val="28"/>
          <w:szCs w:val="28"/>
        </w:rPr>
      </w:pPr>
    </w:p>
    <w:p>
      <w:pPr>
        <w:spacing w:line="360" w:lineRule="auto"/>
        <w:rPr>
          <w:rFonts w:ascii="仿宋" w:hAnsi="仿宋" w:eastAsia="仿宋" w:cs="仿宋"/>
          <w:kern w:val="0"/>
          <w:sz w:val="28"/>
          <w:szCs w:val="28"/>
        </w:rPr>
      </w:pPr>
    </w:p>
    <w:sectPr>
      <w:footerReference r:id="rId3" w:type="default"/>
      <w:pgSz w:w="11906" w:h="16838"/>
      <w:pgMar w:top="851" w:right="851" w:bottom="851"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9F847BF"/>
    <w:multiLevelType w:val="singleLevel"/>
    <w:tmpl w:val="39F847BF"/>
    <w:lvl w:ilvl="0" w:tentative="0">
      <w:start w:val="13"/>
      <w:numFmt w:val="chineseCounting"/>
      <w:suff w:val="nothing"/>
      <w:lvlText w:val="%1、"/>
      <w:lvlJc w:val="left"/>
      <w:rPr>
        <w:rFonts w:hint="eastAsia"/>
      </w:rPr>
    </w:lvl>
  </w:abstractNum>
  <w:abstractNum w:abstractNumId="4">
    <w:nsid w:val="5AF4EEE7"/>
    <w:multiLevelType w:val="singleLevel"/>
    <w:tmpl w:val="5AF4EEE7"/>
    <w:lvl w:ilvl="0" w:tentative="0">
      <w:start w:val="1"/>
      <w:numFmt w:val="chineseCounting"/>
      <w:suff w:val="nothing"/>
      <w:lvlText w:val="%1、"/>
      <w:lvlJc w:val="left"/>
    </w:lvl>
  </w:abstractNum>
  <w:abstractNum w:abstractNumId="5">
    <w:nsid w:val="5AF4F296"/>
    <w:multiLevelType w:val="singleLevel"/>
    <w:tmpl w:val="5AF4F296"/>
    <w:lvl w:ilvl="0" w:tentative="0">
      <w:start w:val="1"/>
      <w:numFmt w:val="decimal"/>
      <w:suff w:val="nothing"/>
      <w:lvlText w:val="%1、"/>
      <w:lvlJc w:val="left"/>
    </w:lvl>
  </w:abstractNum>
  <w:abstractNum w:abstractNumId="6">
    <w:nsid w:val="5AF4F74F"/>
    <w:multiLevelType w:val="singleLevel"/>
    <w:tmpl w:val="5AF4F74F"/>
    <w:lvl w:ilvl="0" w:tentative="0">
      <w:start w:val="2"/>
      <w:numFmt w:val="decimal"/>
      <w:suff w:val="nothing"/>
      <w:lvlText w:val="%1、"/>
      <w:lvlJc w:val="left"/>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0733E"/>
    <w:rsid w:val="00010475"/>
    <w:rsid w:val="000140A9"/>
    <w:rsid w:val="000171FD"/>
    <w:rsid w:val="0002639C"/>
    <w:rsid w:val="00027922"/>
    <w:rsid w:val="00036F46"/>
    <w:rsid w:val="000400EC"/>
    <w:rsid w:val="000448D3"/>
    <w:rsid w:val="00050D99"/>
    <w:rsid w:val="000668E7"/>
    <w:rsid w:val="00066B22"/>
    <w:rsid w:val="000730C2"/>
    <w:rsid w:val="00073964"/>
    <w:rsid w:val="0008072E"/>
    <w:rsid w:val="00082C71"/>
    <w:rsid w:val="00085DEC"/>
    <w:rsid w:val="000A04FB"/>
    <w:rsid w:val="000A36E6"/>
    <w:rsid w:val="000B39DC"/>
    <w:rsid w:val="000C4055"/>
    <w:rsid w:val="000C6612"/>
    <w:rsid w:val="000D54A9"/>
    <w:rsid w:val="000F1A23"/>
    <w:rsid w:val="000F2FB0"/>
    <w:rsid w:val="0010092D"/>
    <w:rsid w:val="001217FC"/>
    <w:rsid w:val="0013140A"/>
    <w:rsid w:val="00131BD3"/>
    <w:rsid w:val="0013257F"/>
    <w:rsid w:val="0013572F"/>
    <w:rsid w:val="001413C0"/>
    <w:rsid w:val="00142A98"/>
    <w:rsid w:val="00153202"/>
    <w:rsid w:val="0015334E"/>
    <w:rsid w:val="00153B2F"/>
    <w:rsid w:val="001544D9"/>
    <w:rsid w:val="0017553A"/>
    <w:rsid w:val="00177105"/>
    <w:rsid w:val="001815FF"/>
    <w:rsid w:val="001A5717"/>
    <w:rsid w:val="001C7E12"/>
    <w:rsid w:val="001C7EAB"/>
    <w:rsid w:val="001D0E12"/>
    <w:rsid w:val="001D6975"/>
    <w:rsid w:val="001E6B98"/>
    <w:rsid w:val="001F1A99"/>
    <w:rsid w:val="001F3AB8"/>
    <w:rsid w:val="001F5358"/>
    <w:rsid w:val="001F60A9"/>
    <w:rsid w:val="001F6B53"/>
    <w:rsid w:val="002104F4"/>
    <w:rsid w:val="00210924"/>
    <w:rsid w:val="0021096D"/>
    <w:rsid w:val="002211E3"/>
    <w:rsid w:val="0022225D"/>
    <w:rsid w:val="002249DF"/>
    <w:rsid w:val="00225BA7"/>
    <w:rsid w:val="002416F6"/>
    <w:rsid w:val="00242018"/>
    <w:rsid w:val="002427B8"/>
    <w:rsid w:val="00264A49"/>
    <w:rsid w:val="00280892"/>
    <w:rsid w:val="00281673"/>
    <w:rsid w:val="002947D4"/>
    <w:rsid w:val="002A0CA1"/>
    <w:rsid w:val="002B1690"/>
    <w:rsid w:val="002C2D1A"/>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0F0A"/>
    <w:rsid w:val="00385165"/>
    <w:rsid w:val="003879DA"/>
    <w:rsid w:val="00395CFB"/>
    <w:rsid w:val="003A1B4E"/>
    <w:rsid w:val="003A42FB"/>
    <w:rsid w:val="003C77DE"/>
    <w:rsid w:val="003D3F6C"/>
    <w:rsid w:val="003D54BE"/>
    <w:rsid w:val="003E7C96"/>
    <w:rsid w:val="003F2FFF"/>
    <w:rsid w:val="00401E48"/>
    <w:rsid w:val="00434F86"/>
    <w:rsid w:val="00442236"/>
    <w:rsid w:val="00442BA8"/>
    <w:rsid w:val="00443058"/>
    <w:rsid w:val="004452CC"/>
    <w:rsid w:val="00447816"/>
    <w:rsid w:val="00460989"/>
    <w:rsid w:val="00475F71"/>
    <w:rsid w:val="004774A7"/>
    <w:rsid w:val="00481206"/>
    <w:rsid w:val="004815E2"/>
    <w:rsid w:val="0048716E"/>
    <w:rsid w:val="00491715"/>
    <w:rsid w:val="00495CE5"/>
    <w:rsid w:val="00496BF6"/>
    <w:rsid w:val="004B2CEE"/>
    <w:rsid w:val="004C1FC6"/>
    <w:rsid w:val="004D7CF2"/>
    <w:rsid w:val="004E4510"/>
    <w:rsid w:val="004E4C85"/>
    <w:rsid w:val="004E65D5"/>
    <w:rsid w:val="004E68A4"/>
    <w:rsid w:val="004E7C03"/>
    <w:rsid w:val="004F2EB8"/>
    <w:rsid w:val="005004FF"/>
    <w:rsid w:val="00515A96"/>
    <w:rsid w:val="0053182E"/>
    <w:rsid w:val="0053237F"/>
    <w:rsid w:val="00532B15"/>
    <w:rsid w:val="00543389"/>
    <w:rsid w:val="00544194"/>
    <w:rsid w:val="005967E0"/>
    <w:rsid w:val="00596B34"/>
    <w:rsid w:val="005A13E7"/>
    <w:rsid w:val="005A680C"/>
    <w:rsid w:val="005B0744"/>
    <w:rsid w:val="005B5982"/>
    <w:rsid w:val="005B5E50"/>
    <w:rsid w:val="005D1CFE"/>
    <w:rsid w:val="005D32F2"/>
    <w:rsid w:val="005D5885"/>
    <w:rsid w:val="005E2E79"/>
    <w:rsid w:val="005E61F2"/>
    <w:rsid w:val="005E6B4B"/>
    <w:rsid w:val="006033A1"/>
    <w:rsid w:val="00623702"/>
    <w:rsid w:val="00624ACC"/>
    <w:rsid w:val="00624F66"/>
    <w:rsid w:val="006260BA"/>
    <w:rsid w:val="0062622B"/>
    <w:rsid w:val="006377E7"/>
    <w:rsid w:val="00641833"/>
    <w:rsid w:val="00643949"/>
    <w:rsid w:val="00654A9D"/>
    <w:rsid w:val="00655399"/>
    <w:rsid w:val="00655BEE"/>
    <w:rsid w:val="00663003"/>
    <w:rsid w:val="00665107"/>
    <w:rsid w:val="0066542E"/>
    <w:rsid w:val="00670B15"/>
    <w:rsid w:val="00671045"/>
    <w:rsid w:val="00673247"/>
    <w:rsid w:val="00674491"/>
    <w:rsid w:val="0069446D"/>
    <w:rsid w:val="006A16D0"/>
    <w:rsid w:val="006A6992"/>
    <w:rsid w:val="006B2553"/>
    <w:rsid w:val="006C1E9F"/>
    <w:rsid w:val="006C65BC"/>
    <w:rsid w:val="006C73B1"/>
    <w:rsid w:val="006D1F3B"/>
    <w:rsid w:val="006D23EA"/>
    <w:rsid w:val="006D6272"/>
    <w:rsid w:val="006F2E9D"/>
    <w:rsid w:val="006F3A14"/>
    <w:rsid w:val="006F569A"/>
    <w:rsid w:val="006F79FB"/>
    <w:rsid w:val="00707AA0"/>
    <w:rsid w:val="007106C3"/>
    <w:rsid w:val="00711421"/>
    <w:rsid w:val="0072207C"/>
    <w:rsid w:val="00722FE0"/>
    <w:rsid w:val="007360E7"/>
    <w:rsid w:val="0074530B"/>
    <w:rsid w:val="00746246"/>
    <w:rsid w:val="007576FD"/>
    <w:rsid w:val="00764464"/>
    <w:rsid w:val="00770C6D"/>
    <w:rsid w:val="0077320F"/>
    <w:rsid w:val="007858B7"/>
    <w:rsid w:val="007A7E3F"/>
    <w:rsid w:val="007B17D6"/>
    <w:rsid w:val="007C3AF2"/>
    <w:rsid w:val="007C5761"/>
    <w:rsid w:val="007D3EC9"/>
    <w:rsid w:val="007D5E12"/>
    <w:rsid w:val="007F32AC"/>
    <w:rsid w:val="00800B65"/>
    <w:rsid w:val="00807D12"/>
    <w:rsid w:val="00810526"/>
    <w:rsid w:val="0081621E"/>
    <w:rsid w:val="008269DC"/>
    <w:rsid w:val="00827E5A"/>
    <w:rsid w:val="008362DB"/>
    <w:rsid w:val="00877824"/>
    <w:rsid w:val="008840A4"/>
    <w:rsid w:val="008847CC"/>
    <w:rsid w:val="00891C45"/>
    <w:rsid w:val="00891DA5"/>
    <w:rsid w:val="00894F8F"/>
    <w:rsid w:val="008954C4"/>
    <w:rsid w:val="0089579B"/>
    <w:rsid w:val="008C1FCD"/>
    <w:rsid w:val="008D0BC6"/>
    <w:rsid w:val="008E1184"/>
    <w:rsid w:val="008E688B"/>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5A8E"/>
    <w:rsid w:val="009926CC"/>
    <w:rsid w:val="00992878"/>
    <w:rsid w:val="0099688F"/>
    <w:rsid w:val="009B0D6A"/>
    <w:rsid w:val="009B3467"/>
    <w:rsid w:val="009B67B8"/>
    <w:rsid w:val="009D5B70"/>
    <w:rsid w:val="009D6632"/>
    <w:rsid w:val="009E1157"/>
    <w:rsid w:val="009E1A4D"/>
    <w:rsid w:val="009E5BCC"/>
    <w:rsid w:val="009F5CA6"/>
    <w:rsid w:val="00A073B0"/>
    <w:rsid w:val="00A156D3"/>
    <w:rsid w:val="00A16889"/>
    <w:rsid w:val="00A23F9A"/>
    <w:rsid w:val="00A37EC4"/>
    <w:rsid w:val="00A550B3"/>
    <w:rsid w:val="00A55A5E"/>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93F"/>
    <w:rsid w:val="00B14D77"/>
    <w:rsid w:val="00B30B3D"/>
    <w:rsid w:val="00B3298E"/>
    <w:rsid w:val="00B33CB7"/>
    <w:rsid w:val="00B37251"/>
    <w:rsid w:val="00B37A75"/>
    <w:rsid w:val="00B45E35"/>
    <w:rsid w:val="00B50276"/>
    <w:rsid w:val="00B558B0"/>
    <w:rsid w:val="00B561FA"/>
    <w:rsid w:val="00B637ED"/>
    <w:rsid w:val="00B67662"/>
    <w:rsid w:val="00B7015D"/>
    <w:rsid w:val="00B7152E"/>
    <w:rsid w:val="00B75E47"/>
    <w:rsid w:val="00B858A1"/>
    <w:rsid w:val="00B93B58"/>
    <w:rsid w:val="00BE0350"/>
    <w:rsid w:val="00BE11D4"/>
    <w:rsid w:val="00BE2C08"/>
    <w:rsid w:val="00C0034E"/>
    <w:rsid w:val="00C01070"/>
    <w:rsid w:val="00C035CB"/>
    <w:rsid w:val="00C06753"/>
    <w:rsid w:val="00C13764"/>
    <w:rsid w:val="00C327A2"/>
    <w:rsid w:val="00C354EF"/>
    <w:rsid w:val="00C543F0"/>
    <w:rsid w:val="00C54657"/>
    <w:rsid w:val="00C55159"/>
    <w:rsid w:val="00C56EFB"/>
    <w:rsid w:val="00C61559"/>
    <w:rsid w:val="00C62466"/>
    <w:rsid w:val="00C63533"/>
    <w:rsid w:val="00C669AD"/>
    <w:rsid w:val="00C756C1"/>
    <w:rsid w:val="00C84B6A"/>
    <w:rsid w:val="00C867AC"/>
    <w:rsid w:val="00CA062E"/>
    <w:rsid w:val="00CA1D42"/>
    <w:rsid w:val="00CA3662"/>
    <w:rsid w:val="00CA3E05"/>
    <w:rsid w:val="00CA7FE7"/>
    <w:rsid w:val="00CB7709"/>
    <w:rsid w:val="00CD3A84"/>
    <w:rsid w:val="00CD5039"/>
    <w:rsid w:val="00CD6F7D"/>
    <w:rsid w:val="00CE0C28"/>
    <w:rsid w:val="00D216FE"/>
    <w:rsid w:val="00D23019"/>
    <w:rsid w:val="00D26871"/>
    <w:rsid w:val="00D2706D"/>
    <w:rsid w:val="00D3366E"/>
    <w:rsid w:val="00D3520B"/>
    <w:rsid w:val="00D436FA"/>
    <w:rsid w:val="00D45633"/>
    <w:rsid w:val="00D47ABB"/>
    <w:rsid w:val="00D52D5F"/>
    <w:rsid w:val="00D64CEE"/>
    <w:rsid w:val="00D67CFC"/>
    <w:rsid w:val="00D73492"/>
    <w:rsid w:val="00D813B1"/>
    <w:rsid w:val="00D82E03"/>
    <w:rsid w:val="00D90689"/>
    <w:rsid w:val="00D9562A"/>
    <w:rsid w:val="00DA4593"/>
    <w:rsid w:val="00DC474F"/>
    <w:rsid w:val="00DC4AEF"/>
    <w:rsid w:val="00DC4BAB"/>
    <w:rsid w:val="00DD4354"/>
    <w:rsid w:val="00DE7334"/>
    <w:rsid w:val="00DF31B7"/>
    <w:rsid w:val="00E108FE"/>
    <w:rsid w:val="00E1245A"/>
    <w:rsid w:val="00E15EAC"/>
    <w:rsid w:val="00E225CA"/>
    <w:rsid w:val="00E35CE2"/>
    <w:rsid w:val="00E43810"/>
    <w:rsid w:val="00E47AC3"/>
    <w:rsid w:val="00E51EA2"/>
    <w:rsid w:val="00E602BD"/>
    <w:rsid w:val="00E65FB9"/>
    <w:rsid w:val="00E713E9"/>
    <w:rsid w:val="00E7662F"/>
    <w:rsid w:val="00E80FFB"/>
    <w:rsid w:val="00E82DE0"/>
    <w:rsid w:val="00E87016"/>
    <w:rsid w:val="00E95A12"/>
    <w:rsid w:val="00EA0002"/>
    <w:rsid w:val="00EB26F4"/>
    <w:rsid w:val="00EB43AF"/>
    <w:rsid w:val="00EB4919"/>
    <w:rsid w:val="00EB4DFA"/>
    <w:rsid w:val="00EB6A4E"/>
    <w:rsid w:val="00EC0791"/>
    <w:rsid w:val="00EC43BF"/>
    <w:rsid w:val="00ED6B4A"/>
    <w:rsid w:val="00EF3A07"/>
    <w:rsid w:val="00EF6D0F"/>
    <w:rsid w:val="00F04AE1"/>
    <w:rsid w:val="00F1223D"/>
    <w:rsid w:val="00F12F4E"/>
    <w:rsid w:val="00F20309"/>
    <w:rsid w:val="00F20CE0"/>
    <w:rsid w:val="00F3548F"/>
    <w:rsid w:val="00F4776A"/>
    <w:rsid w:val="00F60B91"/>
    <w:rsid w:val="00F63D41"/>
    <w:rsid w:val="00F65778"/>
    <w:rsid w:val="00F80D0C"/>
    <w:rsid w:val="00F87584"/>
    <w:rsid w:val="00F90B27"/>
    <w:rsid w:val="00F9392B"/>
    <w:rsid w:val="00F93F80"/>
    <w:rsid w:val="00F94F4D"/>
    <w:rsid w:val="00F94F76"/>
    <w:rsid w:val="00F95172"/>
    <w:rsid w:val="00F97FAC"/>
    <w:rsid w:val="00FB6232"/>
    <w:rsid w:val="00FB6B7E"/>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2FF306B5"/>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2"/>
    <w:autoRedefine/>
    <w:qFormat/>
    <w:uiPriority w:val="0"/>
    <w:pPr>
      <w:keepNext/>
      <w:jc w:val="center"/>
      <w:outlineLvl w:val="0"/>
    </w:pPr>
    <w:rPr>
      <w:rFonts w:ascii="Times New Roman" w:hAnsi="Times New Roman" w:cs="Times New Roman"/>
      <w:b/>
      <w:bCs/>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w:basedOn w:val="1"/>
    <w:link w:val="30"/>
    <w:semiHidden/>
    <w:unhideWhenUsed/>
    <w:uiPriority w:val="0"/>
    <w:pPr>
      <w:spacing w:after="120"/>
    </w:pPr>
  </w:style>
  <w:style w:type="paragraph" w:styleId="5">
    <w:name w:val="Body Text Indent"/>
    <w:basedOn w:val="1"/>
    <w:link w:val="28"/>
    <w:uiPriority w:val="0"/>
    <w:pPr>
      <w:ind w:left="359" w:leftChars="171"/>
    </w:pPr>
    <w:rPr>
      <w:rFonts w:eastAsiaTheme="minorEastAsia"/>
      <w:sz w:val="24"/>
      <w:szCs w:val="20"/>
    </w:rPr>
  </w:style>
  <w:style w:type="paragraph" w:styleId="6">
    <w:name w:val="Plain Text"/>
    <w:basedOn w:val="1"/>
    <w:next w:val="1"/>
    <w:link w:val="32"/>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0"/>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1"/>
    <w:semiHidden/>
    <w:unhideWhenUsed/>
    <w:uiPriority w:val="0"/>
    <w:pPr>
      <w:ind w:firstLine="420" w:firstLineChars="100"/>
    </w:pPr>
  </w:style>
  <w:style w:type="table" w:styleId="13">
    <w:name w:val="Table Grid"/>
    <w:basedOn w:val="12"/>
    <w:autoRedefine/>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uiPriority w:val="0"/>
  </w:style>
  <w:style w:type="character" w:customStyle="1" w:styleId="17">
    <w:name w:val="页眉 Char"/>
    <w:basedOn w:val="14"/>
    <w:link w:val="9"/>
    <w:autoRedefine/>
    <w:qFormat/>
    <w:uiPriority w:val="0"/>
    <w:rPr>
      <w:rFonts w:eastAsia="宋体"/>
      <w:kern w:val="2"/>
      <w:sz w:val="18"/>
      <w:szCs w:val="18"/>
    </w:rPr>
  </w:style>
  <w:style w:type="character" w:customStyle="1" w:styleId="18">
    <w:name w:val="页脚 Char"/>
    <w:basedOn w:val="14"/>
    <w:link w:val="8"/>
    <w:qFormat/>
    <w:uiPriority w:val="99"/>
    <w:rPr>
      <w:rFonts w:eastAsia="宋体"/>
      <w:kern w:val="2"/>
      <w:sz w:val="18"/>
      <w:szCs w:val="18"/>
    </w:rPr>
  </w:style>
  <w:style w:type="paragraph" w:styleId="19">
    <w:name w:val="List Paragraph"/>
    <w:basedOn w:val="1"/>
    <w:autoRedefine/>
    <w:qFormat/>
    <w:uiPriority w:val="34"/>
    <w:pPr>
      <w:ind w:firstLine="420" w:firstLineChars="200"/>
    </w:pPr>
  </w:style>
  <w:style w:type="character" w:customStyle="1" w:styleId="20">
    <w:name w:val="批注框文本 Char"/>
    <w:basedOn w:val="14"/>
    <w:link w:val="7"/>
    <w:qFormat/>
    <w:uiPriority w:val="0"/>
    <w:rPr>
      <w:rFonts w:eastAsia="宋体"/>
      <w:kern w:val="2"/>
      <w:sz w:val="18"/>
      <w:szCs w:val="18"/>
    </w:rPr>
  </w:style>
  <w:style w:type="character" w:customStyle="1" w:styleId="21">
    <w:name w:val="标题 1 Char"/>
    <w:basedOn w:val="14"/>
    <w:link w:val="2"/>
    <w:qFormat/>
    <w:uiPriority w:val="0"/>
    <w:rPr>
      <w:rFonts w:eastAsia="宋体"/>
      <w:b/>
      <w:bCs/>
      <w:kern w:val="44"/>
      <w:sz w:val="44"/>
      <w:szCs w:val="44"/>
    </w:rPr>
  </w:style>
  <w:style w:type="character" w:customStyle="1" w:styleId="22">
    <w:name w:val="标题 1 Char1"/>
    <w:link w:val="2"/>
    <w:uiPriority w:val="0"/>
    <w:rPr>
      <w:rFonts w:ascii="Times New Roman" w:hAnsi="Times New Roman" w:eastAsia="宋体" w:cs="Times New Roman"/>
      <w:b/>
      <w:bCs/>
      <w:kern w:val="2"/>
      <w:sz w:val="28"/>
      <w:szCs w:val="24"/>
    </w:rPr>
  </w:style>
  <w:style w:type="character" w:customStyle="1" w:styleId="23">
    <w:name w:val="页脚 字符"/>
    <w:autoRedefine/>
    <w:uiPriority w:val="0"/>
    <w:rPr>
      <w:kern w:val="2"/>
      <w:sz w:val="18"/>
      <w:szCs w:val="18"/>
    </w:rPr>
  </w:style>
  <w:style w:type="character" w:customStyle="1" w:styleId="24">
    <w:name w:val="页眉 字符"/>
    <w:qFormat/>
    <w:uiPriority w:val="0"/>
    <w:rPr>
      <w:kern w:val="2"/>
      <w:sz w:val="18"/>
      <w:szCs w:val="18"/>
    </w:rPr>
  </w:style>
  <w:style w:type="character" w:customStyle="1" w:styleId="25">
    <w:name w:val="正文文本缩进 Char1"/>
    <w:link w:val="5"/>
    <w:uiPriority w:val="0"/>
    <w:rPr>
      <w:kern w:val="2"/>
      <w:sz w:val="24"/>
    </w:rPr>
  </w:style>
  <w:style w:type="character" w:customStyle="1" w:styleId="26">
    <w:name w:val="批注框文本 字符"/>
    <w:uiPriority w:val="0"/>
    <w:rPr>
      <w:kern w:val="2"/>
      <w:sz w:val="18"/>
      <w:szCs w:val="18"/>
    </w:rPr>
  </w:style>
  <w:style w:type="paragraph" w:customStyle="1" w:styleId="27">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8">
    <w:name w:val="正文文本缩进 Char"/>
    <w:basedOn w:val="14"/>
    <w:link w:val="5"/>
    <w:semiHidden/>
    <w:uiPriority w:val="0"/>
    <w:rPr>
      <w:rFonts w:eastAsia="宋体"/>
      <w:kern w:val="2"/>
      <w:sz w:val="21"/>
      <w:szCs w:val="24"/>
    </w:rPr>
  </w:style>
  <w:style w:type="paragraph" w:customStyle="1" w:styleId="29">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0">
    <w:name w:val="正文文本 Char"/>
    <w:basedOn w:val="14"/>
    <w:link w:val="4"/>
    <w:semiHidden/>
    <w:uiPriority w:val="0"/>
    <w:rPr>
      <w:rFonts w:eastAsia="宋体"/>
      <w:kern w:val="2"/>
      <w:sz w:val="21"/>
      <w:szCs w:val="24"/>
    </w:rPr>
  </w:style>
  <w:style w:type="character" w:customStyle="1" w:styleId="31">
    <w:name w:val="正文首行缩进 Char"/>
    <w:basedOn w:val="30"/>
    <w:link w:val="11"/>
    <w:semiHidden/>
    <w:uiPriority w:val="0"/>
  </w:style>
  <w:style w:type="character" w:customStyle="1" w:styleId="32">
    <w:name w:val="纯文本 Char"/>
    <w:basedOn w:val="14"/>
    <w:link w:val="6"/>
    <w:qFormat/>
    <w:uiPriority w:val="0"/>
    <w:rPr>
      <w:rFonts w:ascii="宋体" w:hAnsi="Courier New" w:eastAsia="宋体" w:cs="Courier New"/>
      <w:sz w:val="22"/>
      <w:szCs w:val="22"/>
      <w:lang w:eastAsia="en-US"/>
    </w:rPr>
  </w:style>
  <w:style w:type="character" w:customStyle="1" w:styleId="3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825</Words>
  <Characters>4704</Characters>
  <Lines>39</Lines>
  <Paragraphs>11</Paragraphs>
  <TotalTime>1200</TotalTime>
  <ScaleCrop>false</ScaleCrop>
  <LinksUpToDate>false</LinksUpToDate>
  <CharactersWithSpaces>5518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2024-03-12T06:55:13Z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512FB0B107EB4821B50E5DB97370DFFB_12</vt:lpwstr>
  </property>
</Properties>
</file>